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2023.12.07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ՀՀՔԿ-ԷԱՃԱՊՁԲ-23/9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по градостроительству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для нужд Комитета градостроительства РА по коду ՀՀՔԿ-ԷԱՃԱՊՁԲ-23/9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n.kirakosyan2010@gmail.com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011621821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по градостроительству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ՀՀՔԿ-ԷԱՃԱՊՁԲ-23/9</w:t>
      </w:r>
      <w:r w:rsidRPr="00E4651F">
        <w:rPr>
          <w:rFonts w:asciiTheme="minorHAnsi" w:hAnsiTheme="minorHAnsi" w:cstheme="minorHAnsi"/>
          <w:i/>
        </w:rPr>
        <w:br/>
      </w:r>
      <w:r w:rsidR="00A419E4" w:rsidRPr="00E4651F">
        <w:rPr>
          <w:rFonts w:asciiTheme="minorHAnsi" w:hAnsiTheme="minorHAnsi" w:cstheme="minorHAnsi"/>
          <w:szCs w:val="20"/>
          <w:lang w:val="af-ZA"/>
        </w:rPr>
        <w:t>2023.12.07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по градостроительству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по градостроительству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для нужд Комитета градостроительства РА по коду ՀՀՔԿ-ԷԱՃԱՊՁԲ-23/9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для нужд Комитета градостроительства РА по коду ՀՀՔԿ-ԷԱՃԱՊՁԲ-23/9</w:t>
      </w:r>
      <w:r w:rsidR="00812F10" w:rsidRPr="00E4651F">
        <w:rPr>
          <w:rFonts w:cstheme="minorHAnsi"/>
          <w:b/>
          <w:lang w:val="ru-RU"/>
        </w:rPr>
        <w:t xml:space="preserve">ДЛЯ НУЖД </w:t>
      </w:r>
      <w:r w:rsidR="0039665E" w:rsidRPr="0039665E">
        <w:rPr>
          <w:rFonts w:cstheme="minorHAnsi"/>
          <w:b/>
          <w:u w:val="single"/>
          <w:lang w:val="af-ZA"/>
        </w:rPr>
        <w:t>Комитет по градостроительству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ՀՀՔԿ-ԷԱՃԱՊՁԲ-23/9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n.kirakosyan2010@gmail.com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для нужд Комитета градостроительства РА по коду ՀՀՔԿ-ԷԱՃԱՊՁԲ-23/9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403.43</w:t>
      </w:r>
      <w:r>
        <w:rPr>
          <w:rFonts w:ascii="Calibri" w:hAnsi="Calibri" w:cstheme="minorHAnsi"/>
          <w:szCs w:val="22"/>
        </w:rPr>
        <w:t xml:space="preserve"> драмом, российский рубль </w:t>
      </w:r>
      <w:r>
        <w:rPr>
          <w:rFonts w:ascii="Calibri" w:hAnsi="Calibri" w:cstheme="minorHAnsi"/>
          <w:lang w:val="af-ZA"/>
        </w:rPr>
        <w:t>4.35</w:t>
      </w:r>
      <w:r>
        <w:rPr>
          <w:rFonts w:ascii="Calibri" w:hAnsi="Calibri" w:cstheme="minorHAnsi"/>
          <w:szCs w:val="22"/>
        </w:rPr>
        <w:t xml:space="preserve"> драмом, евро </w:t>
      </w:r>
      <w:r>
        <w:rPr>
          <w:rFonts w:ascii="Calibri" w:hAnsi="Calibri" w:cstheme="minorHAnsi"/>
          <w:lang w:val="af-ZA"/>
        </w:rPr>
        <w:t>434.7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2023.12.19.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ՀՀՔԿ-ԷԱՃԱՊՁԲ-23/9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"ՀՀՔԿ-ԷԱՃԱՊՁԲ-23/9"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ՀՀՔԿ-ԷԱՃԱՊՁԲ-23/9*.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"ՀՀՔԿ-ԷԱՃԱՊՁԲ-23/9"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ՀՀՔԿ-ԷԱՃԱՊՁԲ-23/9*.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ՀՀՔԿ-ԷԱՃԱՊՁԲ-23/9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предпоследнего дня данного года</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w:t>
      </w:r>
      <w:r w:rsidRPr="00E4651F">
        <w:rPr>
          <w:rFonts w:cstheme="minorHAnsi"/>
          <w:lang w:val="hy-AM"/>
        </w:rPr>
        <w:t>(</w:t>
      </w:r>
      <w:r w:rsidRPr="00C94657">
        <w:rPr>
          <w:rFonts w:cstheme="minorHAnsi"/>
          <w:lang w:val="hy-AM"/>
        </w:rPr>
        <w:t>ноль целых одна десятая</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одна</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0.1</w:t>
      </w:r>
      <w:r w:rsidRPr="00E4651F">
        <w:rPr>
          <w:rFonts w:cstheme="minorHAnsi"/>
          <w:color w:val="000000" w:themeColor="text1"/>
          <w:lang w:val="ru-RU"/>
        </w:rPr>
        <w:t xml:space="preserve"> (</w:t>
      </w:r>
      <w:r w:rsidRPr="00987B00">
        <w:rPr>
          <w:rFonts w:cstheme="minorHAnsi"/>
          <w:lang w:val="hy-AM"/>
        </w:rPr>
        <w:t>ноль целых одна десятая</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Банковские реквизиты, указанные Исполнителем в условиях договора, должны соответствовать банковским реквизитам заключенных в одностороннем порядке заявлений - в виде неустойки.</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со съемным ящиком и приставным столиком. Письменный стол 160*70*75 см, поверхность - двухслойный ламинат европейского производства толщиной 36 мм, боковины профилированы толщиной 3 мм. Ящик: ламинат толщиной 18 мм, с тремя выдвижными полками размером 40*40*60 см, верхний ящик с замком, 3600 на поворотных колесах. Приставной столик изготовлен из ламината толщиной 18 мм, размером не менее 90*45*70 см. Направляющие для полок изготовлены из шариков высокого качества и вакуумного производства. Края ножек стола полностью покрыты поливинилхлоридной кромочной лентой ПВХ толщиной не менее 1 мм. Размеры ламинатной части, соединяющей две ножки: 50-55*155см. Общая высота стола от пола: 75 см. Цвет: коричневый с текстурой дерева, серый или черный.
Отклонение размера: +/- 3 см.
   *Цвета по количеству согласовываются с Заказчиком заранее.
*Товар должен быть новым, неиспользованным, в заводской упаковке.
** Транспортировку товара осуществляет Продавец.
***Товар необходимо доставить в Дом Правительства РА, №3ш, 4 этаж.
**** Срок поставки товара, а в случае поэтапной поставки – срок поставки первого этапа, составляет не менее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со съемным ящиком. Письменный стол 160*70*75 см, поверхность - двухслойный ламинат европейского производства толщиной 36 мм, боковины профилированы толщиной 3 мм. Ящик: ламинат толщиной 18 мм, с тремя выдвижными полками размером 40*40*60 см, верхний ящик с замком, 3600 на поворотных колесах. Направляющие для полок изготовлены из шариков высокого качества и вакуумного производства. Края ножек стола полностью покрыты поливинилхлоридной кромочной лентой ПВХ толщиной не менее 1 мм. Размеры ламинатной части, соединяющей две ножки: 50-55*155см. Общая высота стола от пола: 75 см. Цвет: коричневый с текстурой дерева, серый или черный.
Отклонение размера: +/- 3 см.
   *Цвета по количеству согласовываются с Заказчиком заранее.
Товар должен быть новым, неиспользованным, в заводской упаковке.
** Транспортировку товара осуществляет Продавец.
***Товар необходимо доставить в Дом Правительства РА, №3ш, 4 этаж.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 кресло руководителя, с пятирожковым металлическим крестом. Механизм кресла должен быть: качание, подъем и опускание. Обивка выполнена из премиального заменителя кожи. Металлические подлокотники, прикрепленные как к сиденью, так и к спинке, покрыты мягкой губкой и обиты высококачественным кожзаменителем. Сиденье и спинка изготовлены из мягкой губки толщиной 60-70 мм. Ширина сиденья: 50-54см, глубина 50-55см. Ширина плеч 50-55см. Общая высота стула. 123-130 см, высота плеч. 70-77 см от сиденья. Высота от пола до сиденья 55-59см. Фанера для сиденья и спинки толщиной 10-14мм. Цвет: или серый, или черный.
*Цвета по количеству согласовываются с Заказчиком заранее.
*Товар должен быть новым, неиспользованным, в заводской упаковке.
** Транспортировку товара осуществляет Продавец.
***Товар необходимо доставить в Дом Правительства РА, №3ш, 4 этаж.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Витрина со стеклянными дверцами. Общая высота: не менее 200 см, ширина 80 см, глубина 45 см. С 2 стеклянными дверцами, каждая шириной не менее 40 см, высотой 130 см, полкой каждая высотой не менее 35 см, с 2 открывающимися дверцами внизу, шириной 40 см, высотой 55-60 см, с одной полкой. Ручки дверей металлические, петли металлические толщиной 1,5 мм.
Материал: ламинированное ДСП 18 мм.
Полностью закрытая задняя часть из ламинированного МДФ, соответствующего цвету корпуса.
Видимые части шкафа должны быть закрыты поливинилхлоридной (ПВХ) лентой толщиной не менее 2 мм.
Цвет: коричневый с текстурой дерева или серый или черный.
Отклонение размера: +/- 3 см.
   *Цвета по количеству согласовываются с Заказчиком заранее.
Товар должен быть новым, неиспользованным, в заводской упаковке.
** Транспортировку товара осуществляет Продавец.
***Товар необходимо доставить в Дом Правительства РА, №3ш, 4 этаж.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Дом Правительства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составляет не менее 20 календарных дней, исчисление которых производится на дату вступления в силу условий выполнения. прав и обязанностей сторон, предусмотренных договором (договором), за исключением случая, когда выбранный участник соглашается поставить товар в более короткий срок. Срок поставки не может быть позднее 20 декабря текущего года. Сроки поставки будут указаны в соглашении между сторонами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Дом Правительства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составляет не менее 20 календарных дней, исчисление которых производится на дату вступления в силу условий выполнения. прав и обязанностей сторон, предусмотренных договором (договором), за исключением случая, когда выбранный участник соглашается поставить товар в более короткий срок. Срок поставки не может быть позднее 20 декабря текущего года. Сроки поставки будут указаны в соглашении между сторонами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Дом Правительства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составляет не менее 20 календарных дней, исчисление которых производится на дату вступления в силу условий выполнения. прав и обязанностей сторон, предусмотренных договором (договором), за исключением случая, когда выбранный участник соглашается поставить товар в более короткий срок. Срок поставки не может быть позднее 20 декабря текущего года. Сроки поставки будут указаны в соглашении между сторонами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Площадь Республики, Дом Правительства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составляет не менее 20 календарных дней, исчисление которых производится на дату вступления в силу условий выполнения. прав и обязанностей сторон, предусмотренных договором (договором), за исключением случая, когда выбранный участник соглашается поставить товар в более короткий срок. Срок поставки не может быть позднее 20 декабря текущего года. Сроки поставки будут указаны в соглашении между сторонами при наличии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